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2CA323">
      <w:pPr>
        <w:ind w:firstLine="5220" w:firstLineChars="1300"/>
        <w:rPr>
          <w:rFonts w:hint="eastAsia"/>
          <w:b/>
          <w:bCs/>
          <w:sz w:val="40"/>
          <w:szCs w:val="48"/>
          <w:lang w:eastAsia="zh-CN"/>
        </w:rPr>
      </w:pPr>
      <w:r>
        <w:rPr>
          <w:rFonts w:hint="eastAsia"/>
          <w:b/>
          <w:bCs/>
          <w:sz w:val="40"/>
          <w:szCs w:val="48"/>
          <w:lang w:eastAsia="zh-CN"/>
        </w:rPr>
        <w:t>方案偏离及整改记录表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1305"/>
        <w:gridCol w:w="1335"/>
        <w:gridCol w:w="1200"/>
        <w:gridCol w:w="1425"/>
        <w:gridCol w:w="2940"/>
        <w:gridCol w:w="2025"/>
        <w:gridCol w:w="1920"/>
        <w:gridCol w:w="1012"/>
      </w:tblGrid>
      <w:tr w14:paraId="0A6B2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7" w:type="dxa"/>
            <w:gridSpan w:val="2"/>
          </w:tcPr>
          <w:p w14:paraId="23A2FE97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试验名称</w:t>
            </w:r>
          </w:p>
        </w:tc>
        <w:tc>
          <w:tcPr>
            <w:tcW w:w="6900" w:type="dxa"/>
            <w:gridSpan w:val="4"/>
          </w:tcPr>
          <w:p w14:paraId="2139C1C3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 w14:paraId="38B9E9F5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申办方</w:t>
            </w:r>
          </w:p>
        </w:tc>
        <w:tc>
          <w:tcPr>
            <w:tcW w:w="2932" w:type="dxa"/>
            <w:gridSpan w:val="2"/>
          </w:tcPr>
          <w:p w14:paraId="72F777C5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  <w:tr w14:paraId="6A69A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7" w:type="dxa"/>
            <w:gridSpan w:val="2"/>
          </w:tcPr>
          <w:p w14:paraId="7E6D91A1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研究中心名称</w:t>
            </w:r>
          </w:p>
        </w:tc>
        <w:tc>
          <w:tcPr>
            <w:tcW w:w="6900" w:type="dxa"/>
            <w:gridSpan w:val="4"/>
          </w:tcPr>
          <w:p w14:paraId="3FD018EE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 w14:paraId="6B43D44B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主要研究者</w:t>
            </w:r>
          </w:p>
        </w:tc>
        <w:tc>
          <w:tcPr>
            <w:tcW w:w="2932" w:type="dxa"/>
            <w:gridSpan w:val="2"/>
          </w:tcPr>
          <w:p w14:paraId="4E957329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  <w:tr w14:paraId="1958D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2" w:type="dxa"/>
          </w:tcPr>
          <w:p w14:paraId="7793021F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305" w:type="dxa"/>
          </w:tcPr>
          <w:p w14:paraId="572A6E14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受试者筛选号</w:t>
            </w:r>
          </w:p>
        </w:tc>
        <w:tc>
          <w:tcPr>
            <w:tcW w:w="1335" w:type="dxa"/>
          </w:tcPr>
          <w:p w14:paraId="53BB11DD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受试者姓名缩写</w:t>
            </w:r>
          </w:p>
        </w:tc>
        <w:tc>
          <w:tcPr>
            <w:tcW w:w="1200" w:type="dxa"/>
          </w:tcPr>
          <w:p w14:paraId="245666B4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事件发生日期</w:t>
            </w:r>
          </w:p>
        </w:tc>
        <w:tc>
          <w:tcPr>
            <w:tcW w:w="1425" w:type="dxa"/>
          </w:tcPr>
          <w:p w14:paraId="483CE39C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严重程度</w:t>
            </w:r>
          </w:p>
        </w:tc>
        <w:tc>
          <w:tcPr>
            <w:tcW w:w="2940" w:type="dxa"/>
          </w:tcPr>
          <w:p w14:paraId="485247B2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事件概述</w:t>
            </w:r>
          </w:p>
        </w:tc>
        <w:tc>
          <w:tcPr>
            <w:tcW w:w="2025" w:type="dxa"/>
          </w:tcPr>
          <w:p w14:paraId="3F4BF9E9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处理措施</w:t>
            </w:r>
          </w:p>
        </w:tc>
        <w:tc>
          <w:tcPr>
            <w:tcW w:w="1920" w:type="dxa"/>
          </w:tcPr>
          <w:p w14:paraId="0A24CD3A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结果（继续参与试验、退出试验）</w:t>
            </w:r>
          </w:p>
        </w:tc>
        <w:tc>
          <w:tcPr>
            <w:tcW w:w="1012" w:type="dxa"/>
          </w:tcPr>
          <w:p w14:paraId="7028FA61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备注</w:t>
            </w:r>
          </w:p>
        </w:tc>
      </w:tr>
      <w:tr w14:paraId="40701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2" w:type="dxa"/>
          </w:tcPr>
          <w:p w14:paraId="709EB154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305" w:type="dxa"/>
          </w:tcPr>
          <w:p w14:paraId="3F517515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35" w:type="dxa"/>
          </w:tcPr>
          <w:p w14:paraId="72A4C82F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200" w:type="dxa"/>
          </w:tcPr>
          <w:p w14:paraId="05CF55A5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 w14:paraId="3203D4E2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940" w:type="dxa"/>
          </w:tcPr>
          <w:p w14:paraId="6E38396C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 w14:paraId="781D3813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</w:tcPr>
          <w:p w14:paraId="532EECFD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012" w:type="dxa"/>
          </w:tcPr>
          <w:p w14:paraId="64A4C12C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  <w:tr w14:paraId="1BA3A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2" w:type="dxa"/>
          </w:tcPr>
          <w:p w14:paraId="09F1C779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305" w:type="dxa"/>
          </w:tcPr>
          <w:p w14:paraId="35D13B8C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35" w:type="dxa"/>
          </w:tcPr>
          <w:p w14:paraId="1C167612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200" w:type="dxa"/>
          </w:tcPr>
          <w:p w14:paraId="12D0A337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 w14:paraId="3B900E17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940" w:type="dxa"/>
          </w:tcPr>
          <w:p w14:paraId="5798D22B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 w14:paraId="2F4E5146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</w:tcPr>
          <w:p w14:paraId="696F79B7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012" w:type="dxa"/>
          </w:tcPr>
          <w:p w14:paraId="269DBC32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  <w:tr w14:paraId="62744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2" w:type="dxa"/>
          </w:tcPr>
          <w:p w14:paraId="615BF52A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305" w:type="dxa"/>
          </w:tcPr>
          <w:p w14:paraId="69AEA4CD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35" w:type="dxa"/>
          </w:tcPr>
          <w:p w14:paraId="43E379ED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200" w:type="dxa"/>
          </w:tcPr>
          <w:p w14:paraId="58D17647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 w14:paraId="617F7050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940" w:type="dxa"/>
          </w:tcPr>
          <w:p w14:paraId="7B4CCE14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 w14:paraId="61145442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</w:tcPr>
          <w:p w14:paraId="0AD239CE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012" w:type="dxa"/>
          </w:tcPr>
          <w:p w14:paraId="19DFABB9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  <w:tr w14:paraId="24DC5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2" w:type="dxa"/>
          </w:tcPr>
          <w:p w14:paraId="62C2DD51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305" w:type="dxa"/>
          </w:tcPr>
          <w:p w14:paraId="4A0D8D37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35" w:type="dxa"/>
          </w:tcPr>
          <w:p w14:paraId="09C6B901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200" w:type="dxa"/>
          </w:tcPr>
          <w:p w14:paraId="0298E632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 w14:paraId="0848C3ED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940" w:type="dxa"/>
          </w:tcPr>
          <w:p w14:paraId="0DF5C001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 w14:paraId="7B47FE4D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</w:tcPr>
          <w:p w14:paraId="2284C4F9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012" w:type="dxa"/>
          </w:tcPr>
          <w:p w14:paraId="37FA2491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  <w:tr w14:paraId="2F38D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2" w:type="dxa"/>
          </w:tcPr>
          <w:p w14:paraId="10CBA679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5" w:type="dxa"/>
          </w:tcPr>
          <w:p w14:paraId="64F5006D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35" w:type="dxa"/>
          </w:tcPr>
          <w:p w14:paraId="5593CA13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200" w:type="dxa"/>
          </w:tcPr>
          <w:p w14:paraId="35E9C206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 w14:paraId="633A19DD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940" w:type="dxa"/>
          </w:tcPr>
          <w:p w14:paraId="38BE8F3A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 w14:paraId="5FE1D91C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</w:tcPr>
          <w:p w14:paraId="0C4C7715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012" w:type="dxa"/>
          </w:tcPr>
          <w:p w14:paraId="78BE4739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  <w:tr w14:paraId="77BE9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2" w:type="dxa"/>
          </w:tcPr>
          <w:p w14:paraId="3F8BA164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5" w:type="dxa"/>
          </w:tcPr>
          <w:p w14:paraId="7EC2279F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35" w:type="dxa"/>
          </w:tcPr>
          <w:p w14:paraId="0D2B6B6C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200" w:type="dxa"/>
          </w:tcPr>
          <w:p w14:paraId="185EEDF4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 w14:paraId="1C8E6253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940" w:type="dxa"/>
          </w:tcPr>
          <w:p w14:paraId="79BFF7B6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 w14:paraId="665A173F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</w:tcPr>
          <w:p w14:paraId="3B5203A3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012" w:type="dxa"/>
          </w:tcPr>
          <w:p w14:paraId="302202B4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  <w:tr w14:paraId="4502E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2" w:type="dxa"/>
          </w:tcPr>
          <w:p w14:paraId="0FEC187B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5" w:type="dxa"/>
          </w:tcPr>
          <w:p w14:paraId="1699137C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35" w:type="dxa"/>
          </w:tcPr>
          <w:p w14:paraId="1377DEB5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200" w:type="dxa"/>
          </w:tcPr>
          <w:p w14:paraId="0F4AD186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 w14:paraId="55F9840C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940" w:type="dxa"/>
          </w:tcPr>
          <w:p w14:paraId="0CA33876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 w14:paraId="1B288DE4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</w:tcPr>
          <w:p w14:paraId="1C92410B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012" w:type="dxa"/>
          </w:tcPr>
          <w:p w14:paraId="409B85C9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  <w:tr w14:paraId="0181F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2" w:type="dxa"/>
          </w:tcPr>
          <w:p w14:paraId="56F5868E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5" w:type="dxa"/>
          </w:tcPr>
          <w:p w14:paraId="47AE192D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35" w:type="dxa"/>
          </w:tcPr>
          <w:p w14:paraId="13136B05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200" w:type="dxa"/>
          </w:tcPr>
          <w:p w14:paraId="176188EC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 w14:paraId="211AF6EC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940" w:type="dxa"/>
          </w:tcPr>
          <w:p w14:paraId="17652BD5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 w14:paraId="5D63A8C3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</w:tcPr>
          <w:p w14:paraId="6070269D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012" w:type="dxa"/>
          </w:tcPr>
          <w:p w14:paraId="2DC1D196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  <w:tr w14:paraId="3A09E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2" w:type="dxa"/>
          </w:tcPr>
          <w:p w14:paraId="53506AA2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5" w:type="dxa"/>
          </w:tcPr>
          <w:p w14:paraId="6303F44D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35" w:type="dxa"/>
          </w:tcPr>
          <w:p w14:paraId="547BC402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200" w:type="dxa"/>
          </w:tcPr>
          <w:p w14:paraId="1DF2E23E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 w14:paraId="4C52E41F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940" w:type="dxa"/>
          </w:tcPr>
          <w:p w14:paraId="49A76521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 w14:paraId="28EAC233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</w:tcPr>
          <w:p w14:paraId="2ADC9257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012" w:type="dxa"/>
          </w:tcPr>
          <w:p w14:paraId="557FDD88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  <w:tr w14:paraId="39CA9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2" w:type="dxa"/>
          </w:tcPr>
          <w:p w14:paraId="13E258F5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5" w:type="dxa"/>
          </w:tcPr>
          <w:p w14:paraId="4AB3AD16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35" w:type="dxa"/>
          </w:tcPr>
          <w:p w14:paraId="39C2464E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200" w:type="dxa"/>
          </w:tcPr>
          <w:p w14:paraId="5EDF779F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 w14:paraId="505ED979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940" w:type="dxa"/>
          </w:tcPr>
          <w:p w14:paraId="40480957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 w14:paraId="18128807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</w:tcPr>
          <w:p w14:paraId="7E7DAE36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012" w:type="dxa"/>
          </w:tcPr>
          <w:p w14:paraId="20125EEB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  <w:tr w14:paraId="0657C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2" w:type="dxa"/>
          </w:tcPr>
          <w:p w14:paraId="2CAAD4C0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5" w:type="dxa"/>
          </w:tcPr>
          <w:p w14:paraId="172C57E0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35" w:type="dxa"/>
          </w:tcPr>
          <w:p w14:paraId="49A4D6FA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200" w:type="dxa"/>
          </w:tcPr>
          <w:p w14:paraId="68C62E7A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 w14:paraId="2D120789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940" w:type="dxa"/>
          </w:tcPr>
          <w:p w14:paraId="5F9DBABD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 w14:paraId="423E6A28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</w:tcPr>
          <w:p w14:paraId="634E4F77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012" w:type="dxa"/>
          </w:tcPr>
          <w:p w14:paraId="16510DE2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  <w:tr w14:paraId="7B326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2" w:type="dxa"/>
          </w:tcPr>
          <w:p w14:paraId="31E0118D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5" w:type="dxa"/>
          </w:tcPr>
          <w:p w14:paraId="47790B74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35" w:type="dxa"/>
          </w:tcPr>
          <w:p w14:paraId="251CE41E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200" w:type="dxa"/>
          </w:tcPr>
          <w:p w14:paraId="27EADD9F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 w14:paraId="2D7F422B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940" w:type="dxa"/>
          </w:tcPr>
          <w:p w14:paraId="2267FA39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 w14:paraId="12F8ED58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</w:tcPr>
          <w:p w14:paraId="2D1A8BCA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012" w:type="dxa"/>
          </w:tcPr>
          <w:p w14:paraId="43184A97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  <w:tr w14:paraId="1DE9D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2" w:type="dxa"/>
          </w:tcPr>
          <w:p w14:paraId="74D3F561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5" w:type="dxa"/>
          </w:tcPr>
          <w:p w14:paraId="34E5088E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35" w:type="dxa"/>
          </w:tcPr>
          <w:p w14:paraId="608B50D3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200" w:type="dxa"/>
          </w:tcPr>
          <w:p w14:paraId="12D9E7FF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 w14:paraId="47E2A92A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940" w:type="dxa"/>
          </w:tcPr>
          <w:p w14:paraId="0843A2E6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 w14:paraId="794C2C23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</w:tcPr>
          <w:p w14:paraId="1BAB4612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012" w:type="dxa"/>
          </w:tcPr>
          <w:p w14:paraId="20981E23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  <w:tr w14:paraId="7F018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2" w:type="dxa"/>
          </w:tcPr>
          <w:p w14:paraId="6A3E12A5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5" w:type="dxa"/>
          </w:tcPr>
          <w:p w14:paraId="3E514339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35" w:type="dxa"/>
          </w:tcPr>
          <w:p w14:paraId="1D2A1276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200" w:type="dxa"/>
          </w:tcPr>
          <w:p w14:paraId="2FD848F2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 w14:paraId="367F3757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940" w:type="dxa"/>
          </w:tcPr>
          <w:p w14:paraId="4DF289AC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 w14:paraId="1B7854BE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</w:tcPr>
          <w:p w14:paraId="36F708ED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012" w:type="dxa"/>
          </w:tcPr>
          <w:p w14:paraId="10AB88D3">
            <w:pPr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</w:tbl>
    <w:p w14:paraId="57293BE5">
      <w:pPr>
        <w:rPr>
          <w:rFonts w:hint="eastAsia" w:eastAsiaTheme="minorEastAsia"/>
          <w:sz w:val="32"/>
          <w:szCs w:val="40"/>
          <w:lang w:val="en-US"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主要研究者签名</w:t>
      </w:r>
      <w:r>
        <w:rPr>
          <w:rFonts w:hint="eastAsia"/>
          <w:b/>
          <w:bCs/>
          <w:sz w:val="28"/>
          <w:szCs w:val="36"/>
          <w:lang w:val="en-US" w:eastAsia="zh-CN"/>
        </w:rPr>
        <w:t>/日期：                              机构质控</w:t>
      </w:r>
      <w:bookmarkStart w:id="0" w:name="_GoBack"/>
      <w:bookmarkEnd w:id="0"/>
      <w:r>
        <w:rPr>
          <w:rFonts w:hint="eastAsia"/>
          <w:b/>
          <w:bCs/>
          <w:sz w:val="28"/>
          <w:szCs w:val="36"/>
          <w:lang w:val="en-US" w:eastAsia="zh-CN"/>
        </w:rPr>
        <w:t>员签名/日期</w:t>
      </w:r>
      <w:r>
        <w:rPr>
          <w:rFonts w:hint="eastAsia"/>
          <w:sz w:val="32"/>
          <w:szCs w:val="40"/>
          <w:lang w:val="en-US" w:eastAsia="zh-CN"/>
        </w:rPr>
        <w:t>：</w:t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723AB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465A7C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465A7C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>衡阳市中心医院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67FB22">
    <w:pPr>
      <w:pStyle w:val="3"/>
      <w:pBdr>
        <w:bottom w:val="single" w:color="auto" w:sz="4" w:space="1"/>
      </w:pBdr>
      <w:ind w:left="6480" w:hanging="6480" w:hangingChars="3600"/>
      <w:rPr>
        <w:rFonts w:ascii="宋体" w:hAnsi="宋体" w:eastAsia="宋体" w:cs="宋体"/>
        <w:szCs w:val="18"/>
      </w:rPr>
    </w:pPr>
    <w:r>
      <w:rPr>
        <w:rFonts w:hint="eastAsia" w:ascii="宋体" w:hAnsi="宋体" w:eastAsia="宋体" w:cs="宋体"/>
      </w:rPr>
      <w:t xml:space="preserve">方案偏离审查SOP                                               </w:t>
    </w:r>
    <w:r>
      <w:rPr>
        <w:rFonts w:hint="eastAsia" w:ascii="宋体" w:hAnsi="宋体" w:eastAsia="宋体" w:cs="宋体"/>
        <w:lang w:val="en-US" w:eastAsia="zh-CN"/>
      </w:rPr>
      <w:t xml:space="preserve">                                                             </w:t>
    </w:r>
    <w:r>
      <w:rPr>
        <w:rFonts w:hint="eastAsia" w:ascii="宋体" w:hAnsi="宋体" w:eastAsia="宋体" w:cs="宋体"/>
      </w:rPr>
      <w:t xml:space="preserve">    </w:t>
    </w:r>
    <w:r>
      <w:rPr>
        <w:rFonts w:hint="eastAsia" w:ascii="宋体" w:hAnsi="宋体" w:eastAsia="宋体" w:cs="宋体"/>
        <w:lang w:val="en-US" w:eastAsia="zh-CN"/>
      </w:rPr>
      <w:t>HYSZXLCLL</w:t>
    </w:r>
    <w:r>
      <w:rPr>
        <w:rFonts w:ascii="Times New Roman" w:hAnsi="Times New Roman" w:eastAsia="宋体" w:cs="Times New Roman"/>
        <w:szCs w:val="18"/>
      </w:rPr>
      <w:t>-SOP-016(V</w:t>
    </w:r>
    <w:r>
      <w:rPr>
        <w:rFonts w:hint="eastAsia" w:ascii="Times New Roman" w:hAnsi="Times New Roman" w:eastAsia="宋体" w:cs="Times New Roman"/>
        <w:szCs w:val="18"/>
        <w:lang w:val="en-US" w:eastAsia="zh-CN"/>
      </w:rPr>
      <w:t>2</w:t>
    </w:r>
    <w:r>
      <w:rPr>
        <w:rFonts w:ascii="Times New Roman" w:hAnsi="Times New Roman" w:eastAsia="宋体" w:cs="Times New Roman"/>
        <w:szCs w:val="18"/>
      </w:rPr>
      <w:t>.</w:t>
    </w:r>
    <w:r>
      <w:rPr>
        <w:rFonts w:hint="eastAsia" w:ascii="Times New Roman" w:hAnsi="Times New Roman" w:eastAsia="宋体" w:cs="Times New Roman"/>
        <w:szCs w:val="18"/>
        <w:lang w:val="en-US" w:eastAsia="zh-CN"/>
      </w:rPr>
      <w:t>1</w:t>
    </w:r>
    <w:r>
      <w:rPr>
        <w:rFonts w:ascii="Times New Roman" w:hAnsi="Times New Roman" w:eastAsia="宋体" w:cs="Times New Roman"/>
        <w:szCs w:val="18"/>
      </w:rPr>
      <w:t>)</w:t>
    </w:r>
  </w:p>
  <w:p w14:paraId="055928F7">
    <w:pPr>
      <w:pStyle w:val="3"/>
    </w:pPr>
  </w:p>
  <w:p w14:paraId="399F26DD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F513B3"/>
    <w:rsid w:val="27BA4770"/>
    <w:rsid w:val="7782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82</Characters>
  <Lines>0</Lines>
  <Paragraphs>0</Paragraphs>
  <TotalTime>0</TotalTime>
  <ScaleCrop>false</ScaleCrop>
  <LinksUpToDate>false</LinksUpToDate>
  <CharactersWithSpaces>82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2025-03-12T07:47:00Z</dcterms:created>
  <dc:creator>Administrator</dc:creator>
  <cp:lastModifiedBy>Administrator</cp:lastModifiedBy>
  <dcterms:modified xsi:type="dcterms:W3CDTF">2025-03-12T08:06:39Z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eyJoZGlkIjoiMzFhZjk1MDRhZTU3NjFmYmJmNjFmNGY2NDk4OTkyZTQiLCJ1c2VySWQiOiIyNzM0MDg2MDkifQ==</vt:lpwstr>
  </property>
  <property fmtid="{D5CDD505-2E9C-101B-9397-08002B2CF9AE}" pid="4" name="ICV">
    <vt:lpwstr>9A272CF615FD4779A0A5825500667956_12</vt:lpwstr>
  </property>
</Properties>
</file>